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11" w:rsidRPr="00EF7EE9" w:rsidRDefault="00FA2011">
      <w:pPr>
        <w:rPr>
          <w:rFonts w:cs="Arial"/>
          <w:b/>
        </w:rPr>
      </w:pPr>
      <w:r w:rsidRPr="00EF7EE9">
        <w:rPr>
          <w:rFonts w:cs="Arial"/>
          <w:b/>
        </w:rPr>
        <w:t>Planned Installation Schedule for the Pioneer Array</w:t>
      </w:r>
      <w:r w:rsidR="0075094E">
        <w:rPr>
          <w:rFonts w:cs="Arial"/>
          <w:b/>
        </w:rPr>
        <w:t xml:space="preserve"> – November 2013 Update</w:t>
      </w:r>
    </w:p>
    <w:p w:rsidR="00FA2011" w:rsidRDefault="00FA2011">
      <w:pPr>
        <w:rPr>
          <w:rFonts w:cs="Arial"/>
        </w:rPr>
      </w:pPr>
    </w:p>
    <w:p w:rsidR="00FA2011" w:rsidRDefault="00FA2011" w:rsidP="00FA2011">
      <w:pPr>
        <w:rPr>
          <w:rFonts w:cs="Arial"/>
        </w:rPr>
      </w:pPr>
      <w:r w:rsidRPr="00FA2011">
        <w:rPr>
          <w:rFonts w:cs="Arial"/>
        </w:rPr>
        <w:t xml:space="preserve">The Ocean Observatories Initiative </w:t>
      </w:r>
      <w:r w:rsidR="00EF7EE9">
        <w:rPr>
          <w:rFonts w:cs="Arial"/>
        </w:rPr>
        <w:t>will install</w:t>
      </w:r>
      <w:r w:rsidRPr="00FA2011">
        <w:rPr>
          <w:rFonts w:cs="Arial"/>
        </w:rPr>
        <w:t xml:space="preserve"> scientific data buoys/moorings, autonomous underwater vehicles (AUV), and gliders for the Pioneer Array in the Atlantic Ocean in 2013 and 2014.  The moorings will be maintained at these locations for approximately five years.  </w:t>
      </w:r>
      <w:r>
        <w:rPr>
          <w:rFonts w:cs="Arial"/>
        </w:rPr>
        <w:t>The Pioneer Array will be installed and operated by Woods Hole Oceanographic Institution.</w:t>
      </w:r>
    </w:p>
    <w:p w:rsidR="00FA2011" w:rsidRDefault="00FA2011">
      <w:pPr>
        <w:rPr>
          <w:rFonts w:cs="Arial"/>
        </w:rPr>
      </w:pPr>
    </w:p>
    <w:p w:rsidR="00FA2011" w:rsidRDefault="00FA2011" w:rsidP="00EF7EE9">
      <w:pPr>
        <w:rPr>
          <w:rFonts w:cs="Arial"/>
        </w:rPr>
      </w:pPr>
      <w:r>
        <w:rPr>
          <w:rFonts w:cs="Arial"/>
        </w:rPr>
        <w:t>The Pioneer Array will provide observations of the physical, biological, and biochemical processes that occur on the highly dynamic Mid-Atlantic continental shelf.  Woods Hole Oceanographic Institution will be installing and operating the array located along the continental shelf break, approximately 55 nautical miles south of Martha’s Vineyard, MA.</w:t>
      </w:r>
      <w:r w:rsidR="00EF7EE9">
        <w:rPr>
          <w:rFonts w:cs="Arial"/>
        </w:rPr>
        <w:t xml:space="preserve"> </w:t>
      </w:r>
      <w:r w:rsidR="002E774E">
        <w:rPr>
          <w:rFonts w:cs="Arial"/>
        </w:rPr>
        <w:t>Figure 1 shows the planned configuration</w:t>
      </w:r>
      <w:r w:rsidR="00EF7EE9">
        <w:rPr>
          <w:rFonts w:cs="Arial"/>
        </w:rPr>
        <w:t xml:space="preserve"> of the 10</w:t>
      </w:r>
      <w:r w:rsidR="002E774E">
        <w:rPr>
          <w:rFonts w:cs="Arial"/>
        </w:rPr>
        <w:t xml:space="preserve"> Pioneer Array moorings.  </w:t>
      </w:r>
      <w:r w:rsidR="008C3450">
        <w:rPr>
          <w:rFonts w:cs="Arial"/>
        </w:rPr>
        <w:t xml:space="preserve">Full installation of the array will take place in three phases during the </w:t>
      </w:r>
      <w:r w:rsidR="00480765">
        <w:rPr>
          <w:rFonts w:cs="Arial"/>
        </w:rPr>
        <w:t>late</w:t>
      </w:r>
      <w:r w:rsidR="008C3450">
        <w:rPr>
          <w:rFonts w:cs="Arial"/>
        </w:rPr>
        <w:t>-</w:t>
      </w:r>
      <w:r w:rsidR="008C3450" w:rsidRPr="001138E5">
        <w:rPr>
          <w:rFonts w:cs="Arial"/>
        </w:rPr>
        <w:t xml:space="preserve">2013 </w:t>
      </w:r>
      <w:r w:rsidR="008C3450">
        <w:rPr>
          <w:rFonts w:cs="Arial"/>
        </w:rPr>
        <w:t xml:space="preserve">through </w:t>
      </w:r>
      <w:r w:rsidR="008C3450" w:rsidRPr="001138E5">
        <w:rPr>
          <w:rFonts w:cs="Arial"/>
        </w:rPr>
        <w:t>2014</w:t>
      </w:r>
      <w:r w:rsidR="008C3450">
        <w:rPr>
          <w:rFonts w:cs="Arial"/>
        </w:rPr>
        <w:t xml:space="preserve"> period</w:t>
      </w:r>
      <w:r w:rsidR="008C3450" w:rsidRPr="001138E5">
        <w:rPr>
          <w:rFonts w:cs="Arial"/>
        </w:rPr>
        <w:t>.</w:t>
      </w:r>
      <w:r w:rsidR="008C3450">
        <w:rPr>
          <w:rFonts w:cs="Arial"/>
        </w:rPr>
        <w:t xml:space="preserve">  Figure 1 shows the mooring site configurations with mooring types.  </w:t>
      </w:r>
      <w:r>
        <w:rPr>
          <w:rFonts w:cs="Arial"/>
        </w:rPr>
        <w:t xml:space="preserve">Table </w:t>
      </w:r>
      <w:r w:rsidR="002E774E">
        <w:rPr>
          <w:rFonts w:cs="Arial"/>
        </w:rPr>
        <w:t>1</w:t>
      </w:r>
      <w:r>
        <w:rPr>
          <w:rFonts w:cs="Arial"/>
        </w:rPr>
        <w:t xml:space="preserve"> </w:t>
      </w:r>
      <w:r w:rsidR="008C3450">
        <w:rPr>
          <w:rFonts w:cs="Arial"/>
        </w:rPr>
        <w:t xml:space="preserve">contains the mooring site details and phasing of </w:t>
      </w:r>
      <w:r>
        <w:rPr>
          <w:rFonts w:cs="Arial"/>
        </w:rPr>
        <w:t xml:space="preserve">the </w:t>
      </w:r>
      <w:r w:rsidR="002E774E">
        <w:rPr>
          <w:rFonts w:cs="Arial"/>
        </w:rPr>
        <w:t>infrastructure</w:t>
      </w:r>
      <w:r>
        <w:rPr>
          <w:rFonts w:cs="Arial"/>
        </w:rPr>
        <w:t xml:space="preserve"> deployments</w:t>
      </w:r>
      <w:r w:rsidR="002E774E">
        <w:rPr>
          <w:rFonts w:cs="Arial"/>
        </w:rPr>
        <w:t xml:space="preserve">.  </w:t>
      </w:r>
      <w:r>
        <w:rPr>
          <w:rFonts w:cs="Arial"/>
        </w:rPr>
        <w:t xml:space="preserve">  </w:t>
      </w:r>
    </w:p>
    <w:p w:rsidR="00EF7EE9" w:rsidRDefault="00EF7EE9" w:rsidP="00EF7EE9">
      <w:pPr>
        <w:rPr>
          <w:rFonts w:cs="Arial"/>
        </w:rPr>
      </w:pPr>
    </w:p>
    <w:p w:rsidR="00EF7EE9" w:rsidRDefault="002510D8" w:rsidP="00EF7EE9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C2D0265" wp14:editId="55C1B04F">
            <wp:extent cx="5623560" cy="5227535"/>
            <wp:effectExtent l="0" t="0" r="0" b="0"/>
            <wp:docPr id="3" name="Picture 3" descr="\\olfs01\sbanahan\mydocs\ORION Construction\CG Docs\Pioneer\Pioneer_Graphic_2013-03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lfs01\sbanahan\mydocs\ORION Construction\CG Docs\Pioneer\Pioneer_Graphic_2013-03-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07" cy="522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BDF" w:rsidRDefault="002510D8" w:rsidP="00A80BDF">
      <w:pPr>
        <w:tabs>
          <w:tab w:val="left" w:pos="1170"/>
        </w:tabs>
        <w:spacing w:line="264" w:lineRule="auto"/>
        <w:jc w:val="center"/>
        <w:rPr>
          <w:rFonts w:cs="Arial"/>
          <w:b/>
        </w:rPr>
      </w:pPr>
      <w:proofErr w:type="gramStart"/>
      <w:r w:rsidRPr="002510D8">
        <w:rPr>
          <w:rFonts w:cs="Arial"/>
          <w:b/>
        </w:rPr>
        <w:t>Figure 1.</w:t>
      </w:r>
      <w:proofErr w:type="gramEnd"/>
      <w:r>
        <w:rPr>
          <w:rFonts w:cs="Arial"/>
        </w:rPr>
        <w:t xml:space="preserve">  Configuration of the Pioneer Array moorings showing mooring types (A-J).</w:t>
      </w:r>
      <w:r w:rsidR="00A80BDF">
        <w:rPr>
          <w:rFonts w:cs="Arial"/>
          <w:b/>
        </w:rPr>
        <w:t xml:space="preserve"> </w:t>
      </w:r>
    </w:p>
    <w:p w:rsidR="00A92926" w:rsidRDefault="00A92926" w:rsidP="00A80BDF">
      <w:pPr>
        <w:tabs>
          <w:tab w:val="left" w:pos="1170"/>
        </w:tabs>
        <w:spacing w:line="264" w:lineRule="auto"/>
        <w:jc w:val="center"/>
        <w:rPr>
          <w:rFonts w:cs="Arial"/>
          <w:b/>
        </w:rPr>
      </w:pPr>
    </w:p>
    <w:p w:rsidR="00A80BDF" w:rsidRDefault="00A80BDF" w:rsidP="00A80BDF">
      <w:pPr>
        <w:tabs>
          <w:tab w:val="left" w:pos="1170"/>
        </w:tabs>
        <w:spacing w:line="264" w:lineRule="auto"/>
        <w:jc w:val="center"/>
        <w:rPr>
          <w:rFonts w:cs="Arial"/>
          <w:b/>
        </w:rPr>
        <w:sectPr w:rsidR="00A80BD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80BDF" w:rsidRDefault="00A80BDF" w:rsidP="00A80BDF">
      <w:pPr>
        <w:tabs>
          <w:tab w:val="left" w:pos="1170"/>
        </w:tabs>
        <w:spacing w:line="264" w:lineRule="auto"/>
        <w:jc w:val="center"/>
        <w:rPr>
          <w:rFonts w:cs="Arial"/>
          <w:b/>
        </w:rPr>
      </w:pPr>
    </w:p>
    <w:p w:rsidR="00A80BDF" w:rsidRDefault="00A80BDF" w:rsidP="00A80BDF">
      <w:pPr>
        <w:tabs>
          <w:tab w:val="left" w:pos="1170"/>
        </w:tabs>
        <w:spacing w:line="264" w:lineRule="auto"/>
        <w:jc w:val="center"/>
        <w:rPr>
          <w:rFonts w:cs="Arial"/>
          <w:b/>
        </w:rPr>
      </w:pPr>
    </w:p>
    <w:p w:rsidR="00FA2011" w:rsidRPr="002510D8" w:rsidRDefault="002510D8" w:rsidP="00FA2011">
      <w:pPr>
        <w:jc w:val="center"/>
        <w:rPr>
          <w:rFonts w:cs="Arial"/>
        </w:rPr>
      </w:pPr>
      <w:proofErr w:type="gramStart"/>
      <w:r w:rsidRPr="002510D8">
        <w:rPr>
          <w:rFonts w:cs="Arial"/>
          <w:b/>
        </w:rPr>
        <w:t>Table 1.</w:t>
      </w:r>
      <w:proofErr w:type="gramEnd"/>
      <w:r w:rsidRPr="002510D8">
        <w:rPr>
          <w:rFonts w:cs="Arial"/>
        </w:rPr>
        <w:t xml:space="preserve">  </w:t>
      </w:r>
      <w:r w:rsidR="00FA2011" w:rsidRPr="002510D8">
        <w:rPr>
          <w:rFonts w:cs="Arial"/>
        </w:rPr>
        <w:t xml:space="preserve">OOI </w:t>
      </w:r>
      <w:r w:rsidR="003176B9">
        <w:rPr>
          <w:rFonts w:cs="Arial"/>
        </w:rPr>
        <w:t>Pioneer Array</w:t>
      </w:r>
      <w:r>
        <w:rPr>
          <w:rFonts w:cs="Arial"/>
        </w:rPr>
        <w:t xml:space="preserve"> Installation</w:t>
      </w:r>
      <w:r w:rsidR="003176B9">
        <w:rPr>
          <w:rFonts w:cs="Arial"/>
        </w:rPr>
        <w:t xml:space="preserve"> with descriptions of the mooring site locations, depths, moorings types, and planned installation times</w:t>
      </w:r>
      <w:r w:rsidR="00A92926">
        <w:rPr>
          <w:rFonts w:cs="Arial"/>
        </w:rPr>
        <w:t xml:space="preserve">. </w:t>
      </w:r>
      <w:r w:rsidR="003176B9">
        <w:rPr>
          <w:rFonts w:cs="Arial"/>
        </w:rPr>
        <w:t>Installations will be implemented in three phases; Phase I in 2013 and Phases II and II</w:t>
      </w:r>
      <w:r w:rsidR="009E655D">
        <w:rPr>
          <w:rFonts w:cs="Arial"/>
        </w:rPr>
        <w:t>I</w:t>
      </w:r>
      <w:r w:rsidR="003176B9">
        <w:rPr>
          <w:rFonts w:cs="Arial"/>
        </w:rPr>
        <w:t xml:space="preserve"> in 2014.</w:t>
      </w:r>
      <w:r w:rsidR="00A92926">
        <w:rPr>
          <w:rFonts w:cs="Arial"/>
        </w:rPr>
        <w:t xml:space="preserve"> </w:t>
      </w:r>
    </w:p>
    <w:p w:rsidR="00FA2011" w:rsidRDefault="00FA2011" w:rsidP="00FA2011">
      <w:pPr>
        <w:spacing w:line="264" w:lineRule="auto"/>
        <w:rPr>
          <w:rFonts w:cs="Arial"/>
        </w:rPr>
      </w:pPr>
    </w:p>
    <w:tbl>
      <w:tblPr>
        <w:tblW w:w="12165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307"/>
        <w:gridCol w:w="1440"/>
        <w:gridCol w:w="2790"/>
        <w:gridCol w:w="2520"/>
        <w:gridCol w:w="2122"/>
      </w:tblGrid>
      <w:tr w:rsidR="00A92926" w:rsidRPr="00163EB1" w:rsidTr="003516E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163EB1">
              <w:rPr>
                <w:rFonts w:cs="Arial"/>
                <w:b/>
                <w:sz w:val="20"/>
                <w:szCs w:val="20"/>
              </w:rPr>
              <w:t>Site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163EB1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163EB1">
              <w:rPr>
                <w:rFonts w:cs="Arial"/>
                <w:b/>
                <w:sz w:val="20"/>
                <w:szCs w:val="20"/>
              </w:rPr>
              <w:t>Site Center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163EB1">
              <w:rPr>
                <w:rFonts w:cs="Arial"/>
                <w:b/>
                <w:sz w:val="20"/>
                <w:szCs w:val="20"/>
              </w:rPr>
              <w:t>Lat/Lon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Default="00A92926" w:rsidP="000963FE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163EB1">
              <w:rPr>
                <w:rFonts w:cs="Arial"/>
                <w:b/>
                <w:sz w:val="20"/>
                <w:szCs w:val="20"/>
              </w:rPr>
              <w:t>Water Depth</w:t>
            </w:r>
          </w:p>
          <w:p w:rsidR="00A92926" w:rsidRPr="002366C3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Pr="002366C3">
              <w:rPr>
                <w:rFonts w:cs="Arial"/>
                <w:sz w:val="20"/>
                <w:szCs w:val="20"/>
              </w:rPr>
              <w:t>athom (fm)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Pr="002366C3">
              <w:rPr>
                <w:rFonts w:cs="Arial"/>
                <w:sz w:val="20"/>
                <w:szCs w:val="20"/>
              </w:rPr>
              <w:t>eters (m)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26" w:rsidRDefault="00A92926" w:rsidP="000963FE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163EB1">
              <w:rPr>
                <w:rFonts w:cs="Arial"/>
                <w:b/>
                <w:sz w:val="20"/>
                <w:szCs w:val="20"/>
              </w:rPr>
              <w:t>Mooring Type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A92926" w:rsidRPr="003516EA" w:rsidRDefault="00A92926" w:rsidP="003516EA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516EA">
              <w:rPr>
                <w:rFonts w:cs="Arial"/>
                <w:sz w:val="20"/>
                <w:szCs w:val="20"/>
              </w:rPr>
              <w:t>(</w:t>
            </w:r>
            <w:r w:rsidR="003516EA">
              <w:rPr>
                <w:rFonts w:cs="Arial"/>
                <w:sz w:val="20"/>
                <w:szCs w:val="20"/>
              </w:rPr>
              <w:t>L</w:t>
            </w:r>
            <w:r w:rsidR="003516EA" w:rsidRPr="003516EA">
              <w:rPr>
                <w:rFonts w:cs="Arial"/>
                <w:sz w:val="20"/>
                <w:szCs w:val="20"/>
              </w:rPr>
              <w:t>etter</w:t>
            </w:r>
            <w:r w:rsidR="003516EA">
              <w:rPr>
                <w:rFonts w:cs="Arial"/>
                <w:sz w:val="20"/>
                <w:szCs w:val="20"/>
              </w:rPr>
              <w:t xml:space="preserve"> designation</w:t>
            </w:r>
            <w:r w:rsidR="003516EA" w:rsidRPr="003516EA">
              <w:rPr>
                <w:rFonts w:cs="Arial"/>
                <w:sz w:val="20"/>
                <w:szCs w:val="20"/>
              </w:rPr>
              <w:t xml:space="preserve"> refers to position in Figure 1</w:t>
            </w:r>
            <w:r w:rsidRPr="003516E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 w:rsidRPr="00163EB1">
              <w:rPr>
                <w:rFonts w:cs="Arial"/>
                <w:b/>
                <w:sz w:val="20"/>
                <w:szCs w:val="20"/>
              </w:rPr>
              <w:t>Install Year</w:t>
            </w:r>
            <w:r>
              <w:rPr>
                <w:rFonts w:cs="Arial"/>
                <w:b/>
                <w:sz w:val="20"/>
                <w:szCs w:val="20"/>
              </w:rPr>
              <w:t xml:space="preserve"> (Phase #)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26" w:rsidRDefault="00A92926" w:rsidP="000963FE">
            <w:pPr>
              <w:spacing w:line="264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Planned Installation Cruise Start Date</w:t>
            </w:r>
            <w:r w:rsidRPr="00A92926">
              <w:rPr>
                <w:rFonts w:cs="Arial"/>
                <w:b/>
                <w:szCs w:val="20"/>
              </w:rPr>
              <w:t>*</w:t>
            </w:r>
          </w:p>
          <w:p w:rsidR="00A92926" w:rsidRPr="00A6482A" w:rsidRDefault="00A92926" w:rsidP="006A730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 w:rsidR="00A92926" w:rsidRPr="00163EB1" w:rsidTr="003516E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Inshore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40°21.8’N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70°53.0’W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50 f</w:t>
            </w:r>
            <w:r>
              <w:rPr>
                <w:rFonts w:cs="Arial"/>
                <w:sz w:val="20"/>
                <w:szCs w:val="20"/>
              </w:rPr>
              <w:t>m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(91.5 m)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1" w:rsidRDefault="003516EA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516EA">
              <w:rPr>
                <w:rFonts w:cs="Arial"/>
                <w:b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92926" w:rsidRPr="00163EB1">
              <w:rPr>
                <w:rFonts w:cs="Arial"/>
                <w:sz w:val="20"/>
                <w:szCs w:val="20"/>
              </w:rPr>
              <w:t>Surface-piercing profiler</w:t>
            </w:r>
          </w:p>
          <w:p w:rsidR="00A92926" w:rsidRPr="00163EB1" w:rsidRDefault="003516EA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516EA">
              <w:rPr>
                <w:rFonts w:cs="Arial"/>
                <w:b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92926" w:rsidRPr="00163EB1">
              <w:rPr>
                <w:rFonts w:cs="Arial"/>
                <w:sz w:val="20"/>
                <w:szCs w:val="20"/>
              </w:rPr>
              <w:t>Surface mooring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AUV docking station</w:t>
            </w:r>
            <w:r w:rsidR="00EC4A4B">
              <w:rPr>
                <w:rFonts w:cs="Arial"/>
                <w:sz w:val="20"/>
                <w:szCs w:val="20"/>
              </w:rPr>
              <w:t xml:space="preserve"> (on B)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26" w:rsidRDefault="00EC4A4B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 2014</w:t>
            </w:r>
            <w:r w:rsidR="00A92926">
              <w:rPr>
                <w:rFonts w:cs="Arial"/>
                <w:sz w:val="20"/>
                <w:szCs w:val="20"/>
              </w:rPr>
              <w:t xml:space="preserve"> </w:t>
            </w:r>
            <w:r w:rsidR="008407E6">
              <w:rPr>
                <w:rFonts w:cs="Arial"/>
                <w:sz w:val="20"/>
                <w:szCs w:val="20"/>
              </w:rPr>
              <w:t>(Phase I</w:t>
            </w:r>
            <w:r>
              <w:rPr>
                <w:rFonts w:cs="Arial"/>
                <w:sz w:val="20"/>
                <w:szCs w:val="20"/>
              </w:rPr>
              <w:t>II</w:t>
            </w:r>
            <w:r w:rsidR="008407E6">
              <w:rPr>
                <w:rFonts w:cs="Arial"/>
                <w:sz w:val="20"/>
                <w:szCs w:val="20"/>
              </w:rPr>
              <w:t>)</w:t>
            </w:r>
          </w:p>
          <w:p w:rsidR="00A92926" w:rsidRDefault="00EC4A4B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</w:t>
            </w:r>
            <w:r w:rsidR="00A92926">
              <w:rPr>
                <w:rFonts w:cs="Arial"/>
                <w:sz w:val="20"/>
                <w:szCs w:val="20"/>
              </w:rPr>
              <w:t xml:space="preserve"> 2014</w:t>
            </w:r>
            <w:r w:rsidR="008407E6">
              <w:rPr>
                <w:rFonts w:cs="Arial"/>
                <w:sz w:val="20"/>
                <w:szCs w:val="20"/>
              </w:rPr>
              <w:t xml:space="preserve"> (Phase II</w:t>
            </w:r>
            <w:r>
              <w:rPr>
                <w:rFonts w:cs="Arial"/>
                <w:sz w:val="20"/>
                <w:szCs w:val="20"/>
              </w:rPr>
              <w:t>I</w:t>
            </w:r>
            <w:r w:rsidR="008407E6">
              <w:rPr>
                <w:rFonts w:cs="Arial"/>
                <w:sz w:val="20"/>
                <w:szCs w:val="20"/>
              </w:rPr>
              <w:t>)</w:t>
            </w:r>
          </w:p>
          <w:p w:rsidR="00A92926" w:rsidRPr="00163EB1" w:rsidRDefault="00FA13EE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</w:t>
            </w:r>
            <w:r w:rsidR="00A92926" w:rsidRPr="00D81CE2">
              <w:rPr>
                <w:rFonts w:cs="Arial"/>
                <w:sz w:val="20"/>
                <w:szCs w:val="20"/>
              </w:rPr>
              <w:t xml:space="preserve"> 2014</w:t>
            </w:r>
            <w:r w:rsidR="008407E6">
              <w:rPr>
                <w:rFonts w:cs="Arial"/>
                <w:sz w:val="20"/>
                <w:szCs w:val="20"/>
              </w:rPr>
              <w:t xml:space="preserve"> (Phase II</w:t>
            </w:r>
            <w:r>
              <w:rPr>
                <w:rFonts w:cs="Arial"/>
                <w:sz w:val="20"/>
                <w:szCs w:val="20"/>
              </w:rPr>
              <w:t>I</w:t>
            </w:r>
            <w:r w:rsidR="008407E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26" w:rsidRDefault="00EC4A4B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TBD</w:t>
            </w:r>
          </w:p>
          <w:p w:rsidR="008407E6" w:rsidRDefault="008407E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TBD</w:t>
            </w:r>
          </w:p>
          <w:p w:rsidR="008407E6" w:rsidRPr="00163EB1" w:rsidRDefault="008407E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TBD</w:t>
            </w:r>
          </w:p>
        </w:tc>
      </w:tr>
      <w:tr w:rsidR="00A92926" w:rsidRPr="00163EB1" w:rsidTr="003516E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Central-Inshore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40°13.6’N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70°53.0’W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68 f</w:t>
            </w:r>
            <w:r>
              <w:rPr>
                <w:rFonts w:cs="Arial"/>
                <w:sz w:val="20"/>
                <w:szCs w:val="20"/>
              </w:rPr>
              <w:t>m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(125 m)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26" w:rsidRPr="00163EB1" w:rsidRDefault="003516EA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516EA">
              <w:rPr>
                <w:rFonts w:cs="Arial"/>
                <w:b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 xml:space="preserve"> P</w:t>
            </w:r>
            <w:r w:rsidR="00A92926" w:rsidRPr="00163EB1">
              <w:rPr>
                <w:rFonts w:cs="Arial"/>
                <w:sz w:val="20"/>
                <w:szCs w:val="20"/>
              </w:rPr>
              <w:t>rofiler</w:t>
            </w:r>
            <w:r>
              <w:rPr>
                <w:rFonts w:cs="Arial"/>
                <w:sz w:val="20"/>
                <w:szCs w:val="20"/>
              </w:rPr>
              <w:t xml:space="preserve"> mooring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26" w:rsidRPr="00163EB1" w:rsidRDefault="00EC4A4B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Spring 2014</w:t>
            </w:r>
            <w:r w:rsidR="008407E6">
              <w:rPr>
                <w:rFonts w:cs="Arial"/>
                <w:sz w:val="20"/>
                <w:szCs w:val="20"/>
              </w:rPr>
              <w:t xml:space="preserve"> (Phase I</w:t>
            </w:r>
            <w:r>
              <w:rPr>
                <w:rFonts w:cs="Arial"/>
                <w:sz w:val="20"/>
                <w:szCs w:val="20"/>
              </w:rPr>
              <w:t>I</w:t>
            </w:r>
            <w:r w:rsidR="008407E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E" w:rsidRDefault="00EC4A4B" w:rsidP="00FA13E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TBD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 w:rsidR="00A92926" w:rsidRPr="00163EB1" w:rsidTr="003516E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Central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40°08.2’N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70°46.5’W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73 fm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(133 m)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26" w:rsidRDefault="003516EA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516EA">
              <w:rPr>
                <w:rFonts w:cs="Arial"/>
                <w:b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92926" w:rsidRPr="00163EB1">
              <w:rPr>
                <w:rFonts w:cs="Arial"/>
                <w:sz w:val="20"/>
                <w:szCs w:val="20"/>
              </w:rPr>
              <w:t>Surface-piercing profiler</w:t>
            </w:r>
          </w:p>
          <w:p w:rsidR="003516EA" w:rsidRPr="00163EB1" w:rsidRDefault="003516EA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516EA">
              <w:rPr>
                <w:rFonts w:cs="Arial"/>
                <w:b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63EB1">
              <w:rPr>
                <w:rFonts w:cs="Arial"/>
                <w:sz w:val="20"/>
                <w:szCs w:val="20"/>
              </w:rPr>
              <w:t>Surface mooring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26" w:rsidRDefault="00EC4A4B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</w:t>
            </w:r>
            <w:r w:rsidR="00A92926">
              <w:rPr>
                <w:rFonts w:cs="Arial"/>
                <w:sz w:val="20"/>
                <w:szCs w:val="20"/>
              </w:rPr>
              <w:t xml:space="preserve"> 2014</w:t>
            </w:r>
            <w:r w:rsidR="00E470C1">
              <w:rPr>
                <w:rFonts w:cs="Arial"/>
                <w:sz w:val="20"/>
                <w:szCs w:val="20"/>
              </w:rPr>
              <w:t xml:space="preserve"> (Phase II</w:t>
            </w:r>
            <w:r>
              <w:rPr>
                <w:rFonts w:cs="Arial"/>
                <w:sz w:val="20"/>
                <w:szCs w:val="20"/>
              </w:rPr>
              <w:t>I</w:t>
            </w:r>
            <w:r w:rsidR="00E470C1">
              <w:rPr>
                <w:rFonts w:cs="Arial"/>
                <w:sz w:val="20"/>
                <w:szCs w:val="20"/>
              </w:rPr>
              <w:t>)</w:t>
            </w:r>
          </w:p>
          <w:p w:rsidR="003516EA" w:rsidRPr="003516EA" w:rsidRDefault="003516EA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 2013 (Phase 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E6" w:rsidRDefault="008407E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TBD</w:t>
            </w:r>
          </w:p>
          <w:p w:rsidR="003516EA" w:rsidRPr="00163EB1" w:rsidRDefault="00E87AEC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  <w:r w:rsidR="00FA13EE">
              <w:rPr>
                <w:rFonts w:cs="Arial"/>
                <w:sz w:val="20"/>
                <w:szCs w:val="20"/>
              </w:rPr>
              <w:t xml:space="preserve"> November 2013</w:t>
            </w:r>
          </w:p>
        </w:tc>
      </w:tr>
      <w:tr w:rsidR="00A92926" w:rsidRPr="00163EB1" w:rsidTr="003516E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Central-Offshore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40°05.9’N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70°53.0’W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 xml:space="preserve">82 fm 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(150 m)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26" w:rsidRPr="00163EB1" w:rsidRDefault="003516EA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516EA">
              <w:rPr>
                <w:rFonts w:cs="Arial"/>
                <w:b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 xml:space="preserve"> P</w:t>
            </w:r>
            <w:r w:rsidR="00A92926" w:rsidRPr="00163EB1">
              <w:rPr>
                <w:rFonts w:cs="Arial"/>
                <w:sz w:val="20"/>
                <w:szCs w:val="20"/>
              </w:rPr>
              <w:t>rofiler</w:t>
            </w:r>
            <w:r>
              <w:rPr>
                <w:rFonts w:cs="Arial"/>
                <w:sz w:val="20"/>
                <w:szCs w:val="20"/>
              </w:rPr>
              <w:t xml:space="preserve"> mooring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26" w:rsidRPr="00163EB1" w:rsidRDefault="00EC4A4B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Spring 2014 (Phase II)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E" w:rsidRDefault="00EC4A4B" w:rsidP="00FA13E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TBD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 w:rsidR="00A92926" w:rsidRPr="00163EB1" w:rsidTr="003516E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Offshore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39°56.4’N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70°53.0’W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 xml:space="preserve">246 fm 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(450 m)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A" w:rsidRPr="00163EB1" w:rsidRDefault="003516EA" w:rsidP="003516EA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516EA">
              <w:rPr>
                <w:rFonts w:cs="Arial"/>
                <w:b/>
                <w:sz w:val="20"/>
                <w:szCs w:val="20"/>
              </w:rPr>
              <w:t>G</w:t>
            </w:r>
            <w:r>
              <w:rPr>
                <w:rFonts w:cs="Arial"/>
                <w:sz w:val="20"/>
                <w:szCs w:val="20"/>
              </w:rPr>
              <w:t xml:space="preserve"> P</w:t>
            </w:r>
            <w:r w:rsidRPr="00163EB1">
              <w:rPr>
                <w:rFonts w:cs="Arial"/>
                <w:sz w:val="20"/>
                <w:szCs w:val="20"/>
              </w:rPr>
              <w:t>rofiler</w:t>
            </w:r>
            <w:r>
              <w:rPr>
                <w:rFonts w:cs="Arial"/>
                <w:sz w:val="20"/>
                <w:szCs w:val="20"/>
              </w:rPr>
              <w:t xml:space="preserve"> mooring</w:t>
            </w:r>
          </w:p>
          <w:p w:rsidR="00A92926" w:rsidRPr="00163EB1" w:rsidRDefault="003516EA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516EA">
              <w:rPr>
                <w:rFonts w:cs="Arial"/>
                <w:b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92926" w:rsidRPr="00163EB1">
              <w:rPr>
                <w:rFonts w:cs="Arial"/>
                <w:sz w:val="20"/>
                <w:szCs w:val="20"/>
              </w:rPr>
              <w:t>Surface mooring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AUV docking station</w:t>
            </w:r>
            <w:r w:rsidR="00EC4A4B">
              <w:rPr>
                <w:rFonts w:cs="Arial"/>
                <w:sz w:val="20"/>
                <w:szCs w:val="20"/>
              </w:rPr>
              <w:t xml:space="preserve"> (on H)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26" w:rsidRDefault="00EC4A4B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Spring 2014</w:t>
            </w:r>
            <w:r w:rsidR="00A92926">
              <w:rPr>
                <w:rFonts w:cs="Arial"/>
                <w:sz w:val="20"/>
                <w:szCs w:val="20"/>
              </w:rPr>
              <w:t xml:space="preserve"> </w:t>
            </w:r>
            <w:r w:rsidR="008407E6">
              <w:rPr>
                <w:rFonts w:cs="Arial"/>
                <w:sz w:val="20"/>
                <w:szCs w:val="20"/>
              </w:rPr>
              <w:t>(Phase I</w:t>
            </w:r>
            <w:r>
              <w:rPr>
                <w:rFonts w:cs="Arial"/>
                <w:sz w:val="20"/>
                <w:szCs w:val="20"/>
              </w:rPr>
              <w:t>I</w:t>
            </w:r>
            <w:r w:rsidR="008407E6">
              <w:rPr>
                <w:rFonts w:cs="Arial"/>
                <w:sz w:val="20"/>
                <w:szCs w:val="20"/>
              </w:rPr>
              <w:t>)</w:t>
            </w:r>
          </w:p>
          <w:p w:rsidR="00A92926" w:rsidRDefault="00EC4A4B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</w:t>
            </w:r>
            <w:r w:rsidR="00A92926">
              <w:rPr>
                <w:rFonts w:cs="Arial"/>
                <w:sz w:val="20"/>
                <w:szCs w:val="20"/>
              </w:rPr>
              <w:t xml:space="preserve"> 2014</w:t>
            </w:r>
            <w:r w:rsidR="008407E6">
              <w:rPr>
                <w:rFonts w:cs="Arial"/>
                <w:sz w:val="20"/>
                <w:szCs w:val="20"/>
              </w:rPr>
              <w:t xml:space="preserve"> (Phase II</w:t>
            </w:r>
            <w:r>
              <w:rPr>
                <w:rFonts w:cs="Arial"/>
                <w:sz w:val="20"/>
                <w:szCs w:val="20"/>
              </w:rPr>
              <w:t>I</w:t>
            </w:r>
            <w:r w:rsidR="008407E6">
              <w:rPr>
                <w:rFonts w:cs="Arial"/>
                <w:sz w:val="20"/>
                <w:szCs w:val="20"/>
              </w:rPr>
              <w:t>)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 2014</w:t>
            </w:r>
            <w:r w:rsidR="008D7DFA">
              <w:rPr>
                <w:rFonts w:cs="Arial"/>
                <w:sz w:val="20"/>
                <w:szCs w:val="20"/>
              </w:rPr>
              <w:t xml:space="preserve"> (Phase III)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26" w:rsidRDefault="00EC4A4B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TBD</w:t>
            </w:r>
          </w:p>
          <w:p w:rsidR="008407E6" w:rsidRDefault="008407E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TBD</w:t>
            </w:r>
          </w:p>
          <w:p w:rsidR="008407E6" w:rsidRPr="00163EB1" w:rsidRDefault="008407E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TBD</w:t>
            </w:r>
          </w:p>
        </w:tc>
      </w:tr>
      <w:tr w:rsidR="00A92926" w:rsidRPr="00163EB1" w:rsidTr="003516E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Upstream-Inshore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40°21.9’N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70°46.5’W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 w:rsidDel="00EF6C6A">
              <w:rPr>
                <w:rFonts w:cs="Arial"/>
                <w:sz w:val="20"/>
                <w:szCs w:val="20"/>
              </w:rPr>
              <w:t xml:space="preserve"> </w:t>
            </w:r>
            <w:r w:rsidRPr="00163EB1">
              <w:rPr>
                <w:rFonts w:cs="Arial"/>
                <w:sz w:val="20"/>
                <w:szCs w:val="20"/>
              </w:rPr>
              <w:t>50 fm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163EB1">
              <w:rPr>
                <w:rFonts w:cs="Arial"/>
                <w:sz w:val="20"/>
                <w:szCs w:val="20"/>
              </w:rPr>
              <w:t>91.5 m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A" w:rsidRPr="00163EB1" w:rsidRDefault="003516EA" w:rsidP="003516EA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516EA">
              <w:rPr>
                <w:rFonts w:cs="Arial"/>
                <w:b/>
                <w:sz w:val="20"/>
                <w:szCs w:val="20"/>
              </w:rPr>
              <w:t xml:space="preserve">I </w:t>
            </w:r>
            <w:r>
              <w:rPr>
                <w:rFonts w:cs="Arial"/>
                <w:sz w:val="20"/>
                <w:szCs w:val="20"/>
              </w:rPr>
              <w:t>P</w:t>
            </w:r>
            <w:r w:rsidRPr="00163EB1">
              <w:rPr>
                <w:rFonts w:cs="Arial"/>
                <w:sz w:val="20"/>
                <w:szCs w:val="20"/>
              </w:rPr>
              <w:t>rofiler</w:t>
            </w:r>
            <w:r>
              <w:rPr>
                <w:rFonts w:cs="Arial"/>
                <w:sz w:val="20"/>
                <w:szCs w:val="20"/>
              </w:rPr>
              <w:t xml:space="preserve"> mooring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26" w:rsidRPr="00163EB1" w:rsidRDefault="00EC4A4B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 2013 (Phase 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26" w:rsidRPr="00163EB1" w:rsidRDefault="00E87AEC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  <w:r w:rsidR="00EC4A4B">
              <w:rPr>
                <w:rFonts w:cs="Arial"/>
                <w:sz w:val="20"/>
                <w:szCs w:val="20"/>
              </w:rPr>
              <w:t xml:space="preserve"> November 2013</w:t>
            </w:r>
          </w:p>
        </w:tc>
      </w:tr>
      <w:tr w:rsidR="00A92926" w:rsidRPr="00163EB1" w:rsidTr="003516E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Upstream-Offshore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39°56.4’N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70°46.5’W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26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 xml:space="preserve">246 fm 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163EB1">
              <w:rPr>
                <w:rFonts w:cs="Arial"/>
                <w:sz w:val="20"/>
                <w:szCs w:val="20"/>
              </w:rPr>
              <w:t>(450 m)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EA" w:rsidRPr="00163EB1" w:rsidRDefault="003516EA" w:rsidP="003516EA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516EA">
              <w:rPr>
                <w:rFonts w:cs="Arial"/>
                <w:b/>
                <w:sz w:val="20"/>
                <w:szCs w:val="20"/>
              </w:rPr>
              <w:t>J</w:t>
            </w:r>
            <w:r>
              <w:rPr>
                <w:rFonts w:cs="Arial"/>
                <w:sz w:val="20"/>
                <w:szCs w:val="20"/>
              </w:rPr>
              <w:t xml:space="preserve"> P</w:t>
            </w:r>
            <w:r w:rsidRPr="00163EB1">
              <w:rPr>
                <w:rFonts w:cs="Arial"/>
                <w:sz w:val="20"/>
                <w:szCs w:val="20"/>
              </w:rPr>
              <w:t>rofiler</w:t>
            </w:r>
            <w:r>
              <w:rPr>
                <w:rFonts w:cs="Arial"/>
                <w:sz w:val="20"/>
                <w:szCs w:val="20"/>
              </w:rPr>
              <w:t xml:space="preserve"> mooring</w:t>
            </w:r>
          </w:p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26" w:rsidRPr="00163EB1" w:rsidRDefault="00A92926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 2013</w:t>
            </w:r>
            <w:r w:rsidR="008407E6">
              <w:rPr>
                <w:rFonts w:cs="Arial"/>
                <w:sz w:val="20"/>
                <w:szCs w:val="20"/>
              </w:rPr>
              <w:t xml:space="preserve"> (Phase 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26" w:rsidRPr="00163EB1" w:rsidRDefault="00E87AEC" w:rsidP="000963FE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  <w:r w:rsidR="00FA13EE">
              <w:rPr>
                <w:rFonts w:cs="Arial"/>
                <w:sz w:val="20"/>
                <w:szCs w:val="20"/>
              </w:rPr>
              <w:t xml:space="preserve"> November 2013</w:t>
            </w:r>
          </w:p>
        </w:tc>
        <w:bookmarkStart w:id="0" w:name="_GoBack"/>
        <w:bookmarkEnd w:id="0"/>
      </w:tr>
      <w:tr w:rsidR="00FA13EE" w:rsidRPr="00163EB1" w:rsidTr="00042265">
        <w:trPr>
          <w:trHeight w:val="395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EE" w:rsidRPr="002366C3" w:rsidRDefault="00FA13EE" w:rsidP="00E308B0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Glider mission area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EE" w:rsidRPr="002366C3" w:rsidRDefault="00FA13EE" w:rsidP="00E308B0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EE" w:rsidRPr="002366C3" w:rsidRDefault="00FA13EE" w:rsidP="00E308B0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2366C3">
              <w:rPr>
                <w:rFonts w:cs="Arial"/>
                <w:sz w:val="20"/>
                <w:szCs w:val="20"/>
              </w:rPr>
              <w:t>varies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E" w:rsidRPr="002366C3" w:rsidRDefault="00FA13EE" w:rsidP="00E308B0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2366C3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 gliders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E" w:rsidRPr="002366C3" w:rsidRDefault="00EC4A4B" w:rsidP="00E308B0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Spring 2014 (Phase II)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E" w:rsidRPr="002366C3" w:rsidRDefault="00EC4A4B" w:rsidP="00E308B0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TBD</w:t>
            </w:r>
          </w:p>
        </w:tc>
      </w:tr>
      <w:tr w:rsidR="00FA13EE" w:rsidRPr="00163EB1" w:rsidTr="00042265">
        <w:trPr>
          <w:trHeight w:val="3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EE" w:rsidRDefault="00FA13EE" w:rsidP="00E308B0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AUV mission area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EE" w:rsidRPr="002366C3" w:rsidRDefault="00FA13EE" w:rsidP="00E308B0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EE" w:rsidRPr="002366C3" w:rsidRDefault="00FA13EE" w:rsidP="00E308B0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varies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E" w:rsidRPr="002366C3" w:rsidRDefault="00FA13EE" w:rsidP="00E308B0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AUVs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E" w:rsidRPr="002366C3" w:rsidRDefault="00FA13EE" w:rsidP="00E308B0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 2014 (Phase III)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E" w:rsidRDefault="00FA13EE" w:rsidP="00E308B0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TBD</w:t>
            </w:r>
          </w:p>
        </w:tc>
      </w:tr>
    </w:tbl>
    <w:p w:rsidR="008407E6" w:rsidRPr="008407E6" w:rsidRDefault="008407E6" w:rsidP="00FA13EE">
      <w:pPr>
        <w:spacing w:before="120" w:after="60" w:line="264" w:lineRule="auto"/>
        <w:ind w:left="720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* </w:t>
      </w:r>
      <w:r w:rsidRPr="008407E6">
        <w:rPr>
          <w:rFonts w:cs="Arial"/>
          <w:sz w:val="20"/>
          <w:szCs w:val="20"/>
        </w:rPr>
        <w:t>Cruise start dates are subject to change and not yet scheduled</w:t>
      </w:r>
      <w:r w:rsidR="0040089C">
        <w:rPr>
          <w:rFonts w:cs="Arial"/>
          <w:sz w:val="20"/>
          <w:szCs w:val="20"/>
        </w:rPr>
        <w:t xml:space="preserve"> with exact dates</w:t>
      </w:r>
      <w:r w:rsidRPr="008407E6">
        <w:rPr>
          <w:rFonts w:cs="Arial"/>
          <w:sz w:val="20"/>
          <w:szCs w:val="20"/>
        </w:rPr>
        <w:t xml:space="preserve"> beyond 2013.</w:t>
      </w:r>
    </w:p>
    <w:p w:rsidR="00FA2011" w:rsidRDefault="00FA2011" w:rsidP="00FA2011">
      <w:pPr>
        <w:tabs>
          <w:tab w:val="left" w:pos="1170"/>
        </w:tabs>
        <w:spacing w:line="264" w:lineRule="auto"/>
        <w:rPr>
          <w:rFonts w:cs="Arial"/>
        </w:rPr>
      </w:pPr>
    </w:p>
    <w:p w:rsidR="00FA2011" w:rsidRDefault="00FA2011" w:rsidP="00FA2011">
      <w:pPr>
        <w:tabs>
          <w:tab w:val="left" w:pos="1170"/>
        </w:tabs>
        <w:spacing w:line="264" w:lineRule="auto"/>
        <w:rPr>
          <w:rFonts w:cs="Arial"/>
        </w:rPr>
      </w:pPr>
    </w:p>
    <w:p w:rsidR="00FA2011" w:rsidRDefault="00FA2011"/>
    <w:sectPr w:rsidR="00FA2011" w:rsidSect="00A80B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11"/>
    <w:rsid w:val="00042265"/>
    <w:rsid w:val="00110858"/>
    <w:rsid w:val="00140C99"/>
    <w:rsid w:val="00194AFD"/>
    <w:rsid w:val="002510D8"/>
    <w:rsid w:val="002E774E"/>
    <w:rsid w:val="002F56FA"/>
    <w:rsid w:val="003176B9"/>
    <w:rsid w:val="003516EA"/>
    <w:rsid w:val="00375534"/>
    <w:rsid w:val="0040089C"/>
    <w:rsid w:val="00480765"/>
    <w:rsid w:val="00646927"/>
    <w:rsid w:val="006A7304"/>
    <w:rsid w:val="006F0656"/>
    <w:rsid w:val="0071533A"/>
    <w:rsid w:val="0075094E"/>
    <w:rsid w:val="007E2AA3"/>
    <w:rsid w:val="00807708"/>
    <w:rsid w:val="008407E6"/>
    <w:rsid w:val="00883571"/>
    <w:rsid w:val="008C3450"/>
    <w:rsid w:val="008D7DFA"/>
    <w:rsid w:val="009B15C1"/>
    <w:rsid w:val="009E655D"/>
    <w:rsid w:val="00A6482A"/>
    <w:rsid w:val="00A80BDF"/>
    <w:rsid w:val="00A92926"/>
    <w:rsid w:val="00CA478E"/>
    <w:rsid w:val="00CC526D"/>
    <w:rsid w:val="00E410FE"/>
    <w:rsid w:val="00E470C1"/>
    <w:rsid w:val="00E87AEC"/>
    <w:rsid w:val="00EA3EEA"/>
    <w:rsid w:val="00EC4A4B"/>
    <w:rsid w:val="00EF7EE9"/>
    <w:rsid w:val="00F53CF5"/>
    <w:rsid w:val="00FA13EE"/>
    <w:rsid w:val="00FA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Banahan</dc:creator>
  <cp:lastModifiedBy>Liz</cp:lastModifiedBy>
  <cp:revision>2</cp:revision>
  <cp:lastPrinted>2013-11-12T13:34:00Z</cp:lastPrinted>
  <dcterms:created xsi:type="dcterms:W3CDTF">2013-11-12T13:49:00Z</dcterms:created>
  <dcterms:modified xsi:type="dcterms:W3CDTF">2013-11-12T13:49:00Z</dcterms:modified>
</cp:coreProperties>
</file>