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3C" w:rsidRDefault="00925229">
      <w:pPr>
        <w:spacing w:before="86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868035" cy="10814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1E" w:rsidRPr="00925229" w:rsidRDefault="0084611E" w:rsidP="0084611E">
      <w:pPr>
        <w:spacing w:before="53"/>
        <w:ind w:left="1674" w:right="312"/>
        <w:rPr>
          <w:rFonts w:ascii="Times New Roman" w:eastAsia="Times New Roman" w:hAnsi="Times New Roman" w:cs="Times New Roman"/>
          <w:sz w:val="32"/>
          <w:szCs w:val="32"/>
        </w:rPr>
      </w:pPr>
      <w:r w:rsidRPr="00925229">
        <w:rPr>
          <w:rFonts w:ascii="Times New Roman"/>
          <w:b/>
          <w:sz w:val="32"/>
          <w:szCs w:val="32"/>
        </w:rPr>
        <w:t>Health Reimbursement Account Summary</w:t>
      </w:r>
    </w:p>
    <w:p w:rsidR="0084611E" w:rsidRDefault="0084611E" w:rsidP="0084611E">
      <w:pPr>
        <w:spacing w:before="4" w:line="320" w:lineRule="exact"/>
        <w:rPr>
          <w:sz w:val="32"/>
          <w:szCs w:val="32"/>
        </w:rPr>
      </w:pPr>
    </w:p>
    <w:p w:rsidR="0084611E" w:rsidRPr="0084611E" w:rsidRDefault="0084611E" w:rsidP="0084611E">
      <w:pPr>
        <w:pStyle w:val="Heading1"/>
        <w:rPr>
          <w:color w:val="1F497D" w:themeColor="text2"/>
          <w:u w:val="thick" w:color="1F497D" w:themeColor="text2"/>
        </w:rPr>
      </w:pPr>
      <w:r w:rsidRPr="0084611E">
        <w:rPr>
          <w:color w:val="1F497D" w:themeColor="text2"/>
          <w:u w:val="thick" w:color="1F497D" w:themeColor="text2"/>
        </w:rPr>
        <w:t>What It Is</w:t>
      </w:r>
    </w:p>
    <w:p w:rsidR="0084611E" w:rsidRPr="0084611E" w:rsidRDefault="0084611E" w:rsidP="0084611E">
      <w:pPr>
        <w:pStyle w:val="BodyText"/>
        <w:numPr>
          <w:ilvl w:val="0"/>
          <w:numId w:val="2"/>
        </w:numPr>
        <w:spacing w:before="112"/>
        <w:ind w:right="312"/>
        <w:rPr>
          <w:rFonts w:cs="Times New Roman"/>
          <w:b w:val="0"/>
          <w:bCs w:val="0"/>
          <w:sz w:val="22"/>
          <w:szCs w:val="22"/>
        </w:rPr>
      </w:pPr>
      <w:r w:rsidRPr="0084611E">
        <w:rPr>
          <w:rFonts w:eastAsia="Arial" w:cs="Times New Roman"/>
          <w:b w:val="0"/>
          <w:bCs w:val="0"/>
          <w:i/>
          <w:spacing w:val="20"/>
          <w:sz w:val="22"/>
          <w:szCs w:val="22"/>
        </w:rPr>
        <w:t>“</w:t>
      </w:r>
      <w:r w:rsidRPr="0084611E">
        <w:rPr>
          <w:rFonts w:cs="Times New Roman"/>
          <w:color w:val="000000"/>
          <w:sz w:val="22"/>
          <w:szCs w:val="22"/>
        </w:rPr>
        <w:t>HRA”</w:t>
      </w:r>
      <w:r w:rsidRPr="0084611E">
        <w:rPr>
          <w:rFonts w:cs="Times New Roman"/>
          <w:color w:val="000000"/>
          <w:spacing w:val="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stands</w:t>
      </w:r>
      <w:r w:rsidRPr="0084611E">
        <w:rPr>
          <w:rFonts w:cs="Times New Roman"/>
          <w:color w:val="000000"/>
          <w:spacing w:val="4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for</w:t>
      </w:r>
      <w:r w:rsidRPr="0084611E">
        <w:rPr>
          <w:rFonts w:cs="Times New Roman"/>
          <w:color w:val="000000"/>
          <w:spacing w:val="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pacing w:val="-1"/>
          <w:sz w:val="22"/>
          <w:szCs w:val="22"/>
        </w:rPr>
        <w:t>Health</w:t>
      </w:r>
      <w:r w:rsidRPr="0084611E">
        <w:rPr>
          <w:rFonts w:cs="Times New Roman"/>
          <w:color w:val="000000"/>
          <w:spacing w:val="4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pacing w:val="-1"/>
          <w:sz w:val="22"/>
          <w:szCs w:val="22"/>
        </w:rPr>
        <w:t>Reimbursement</w:t>
      </w:r>
      <w:r w:rsidRPr="0084611E">
        <w:rPr>
          <w:rFonts w:cs="Times New Roman"/>
          <w:color w:val="000000"/>
          <w:spacing w:val="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pacing w:val="-1"/>
          <w:sz w:val="22"/>
          <w:szCs w:val="22"/>
        </w:rPr>
        <w:t>Account</w:t>
      </w:r>
      <w:r w:rsidRPr="0084611E">
        <w:rPr>
          <w:rFonts w:cs="Times New Roman"/>
          <w:color w:val="000000"/>
          <w:spacing w:val="4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and</w:t>
      </w:r>
      <w:r w:rsidRPr="0084611E">
        <w:rPr>
          <w:rFonts w:cs="Times New Roman"/>
          <w:color w:val="000000"/>
          <w:spacing w:val="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pacing w:val="-1"/>
          <w:sz w:val="22"/>
          <w:szCs w:val="22"/>
        </w:rPr>
        <w:t>will</w:t>
      </w:r>
      <w:r w:rsidRPr="0084611E">
        <w:rPr>
          <w:rFonts w:cs="Times New Roman"/>
          <w:color w:val="000000"/>
          <w:spacing w:val="4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pacing w:val="-1"/>
          <w:sz w:val="22"/>
          <w:szCs w:val="22"/>
        </w:rPr>
        <w:t>automatically</w:t>
      </w:r>
      <w:r w:rsidRPr="0084611E">
        <w:rPr>
          <w:rFonts w:cs="Times New Roman"/>
          <w:color w:val="000000"/>
          <w:spacing w:val="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be</w:t>
      </w:r>
      <w:r w:rsidRPr="0084611E">
        <w:rPr>
          <w:rFonts w:cs="Times New Roman"/>
          <w:color w:val="000000"/>
          <w:spacing w:val="69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provided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to</w:t>
      </w:r>
      <w:r w:rsidRPr="0084611E">
        <w:rPr>
          <w:rFonts w:cs="Times New Roman"/>
          <w:color w:val="000000"/>
          <w:spacing w:val="-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employees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who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enroll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in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the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High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Deductible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Health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Plan.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266"/>
        <w:rPr>
          <w:rFonts w:cs="Times New Roman"/>
          <w:b w:val="0"/>
          <w:bCs w:val="0"/>
          <w:sz w:val="22"/>
          <w:szCs w:val="22"/>
        </w:rPr>
      </w:pPr>
      <w:r w:rsidRPr="0084611E">
        <w:rPr>
          <w:rFonts w:cs="Times New Roman"/>
          <w:color w:val="000000"/>
          <w:sz w:val="22"/>
          <w:szCs w:val="22"/>
        </w:rPr>
        <w:t>An</w:t>
      </w:r>
      <w:r w:rsidRPr="0084611E">
        <w:rPr>
          <w:rFonts w:cs="Times New Roman"/>
          <w:color w:val="000000"/>
          <w:spacing w:val="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HRA</w:t>
      </w:r>
      <w:r w:rsidRPr="0084611E">
        <w:rPr>
          <w:rFonts w:cs="Times New Roman"/>
          <w:color w:val="000000"/>
          <w:spacing w:val="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is</w:t>
      </w:r>
      <w:r w:rsidRPr="0084611E">
        <w:rPr>
          <w:rFonts w:cs="Times New Roman"/>
          <w:color w:val="000000"/>
          <w:spacing w:val="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a</w:t>
      </w:r>
      <w:r w:rsidRPr="0084611E">
        <w:rPr>
          <w:rFonts w:cs="Times New Roman"/>
          <w:color w:val="000000"/>
          <w:spacing w:val="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bucket</w:t>
      </w:r>
      <w:r w:rsidRPr="0084611E">
        <w:rPr>
          <w:rFonts w:cs="Times New Roman"/>
          <w:color w:val="000000"/>
          <w:spacing w:val="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pacing w:val="-1"/>
          <w:sz w:val="22"/>
          <w:szCs w:val="22"/>
        </w:rPr>
        <w:t>of</w:t>
      </w:r>
      <w:r w:rsidRPr="0084611E">
        <w:rPr>
          <w:rFonts w:cs="Times New Roman"/>
          <w:color w:val="000000"/>
          <w:spacing w:val="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money</w:t>
      </w:r>
      <w:r w:rsidRPr="0084611E">
        <w:rPr>
          <w:rFonts w:cs="Times New Roman"/>
          <w:color w:val="000000"/>
          <w:spacing w:val="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funded</w:t>
      </w:r>
      <w:r w:rsidRPr="0084611E">
        <w:rPr>
          <w:rFonts w:cs="Times New Roman"/>
          <w:color w:val="000000"/>
          <w:spacing w:val="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by</w:t>
      </w:r>
      <w:r w:rsidRPr="0084611E">
        <w:rPr>
          <w:rFonts w:cs="Times New Roman"/>
          <w:color w:val="000000"/>
          <w:spacing w:val="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WHOI</w:t>
      </w:r>
      <w:r w:rsidRPr="0084611E">
        <w:rPr>
          <w:rFonts w:cs="Times New Roman"/>
          <w:color w:val="000000"/>
          <w:spacing w:val="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that</w:t>
      </w:r>
      <w:r w:rsidRPr="0084611E">
        <w:rPr>
          <w:rFonts w:cs="Times New Roman"/>
          <w:color w:val="000000"/>
          <w:spacing w:val="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pacing w:val="-1"/>
          <w:sz w:val="22"/>
          <w:szCs w:val="22"/>
        </w:rPr>
        <w:t>will</w:t>
      </w:r>
      <w:r w:rsidRPr="0084611E">
        <w:rPr>
          <w:rFonts w:cs="Times New Roman"/>
          <w:color w:val="000000"/>
          <w:spacing w:val="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reimburse</w:t>
      </w:r>
      <w:r w:rsidRPr="0084611E">
        <w:rPr>
          <w:rFonts w:cs="Times New Roman"/>
          <w:color w:val="000000"/>
          <w:spacing w:val="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pacing w:val="-1"/>
          <w:sz w:val="22"/>
          <w:szCs w:val="22"/>
        </w:rPr>
        <w:t>you</w:t>
      </w:r>
      <w:r w:rsidRPr="0084611E">
        <w:rPr>
          <w:rFonts w:cs="Times New Roman"/>
          <w:color w:val="000000"/>
          <w:spacing w:val="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for</w:t>
      </w:r>
      <w:r w:rsidRPr="0084611E">
        <w:rPr>
          <w:rFonts w:cs="Times New Roman"/>
          <w:color w:val="000000"/>
          <w:spacing w:val="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services</w:t>
      </w:r>
      <w:r w:rsidRPr="0084611E">
        <w:rPr>
          <w:rFonts w:cs="Times New Roman"/>
          <w:color w:val="000000"/>
          <w:spacing w:val="24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incurred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toward </w:t>
      </w:r>
      <w:r w:rsidRPr="0084611E">
        <w:rPr>
          <w:rFonts w:cs="Times New Roman"/>
          <w:color w:val="000000"/>
          <w:sz w:val="22"/>
          <w:szCs w:val="22"/>
        </w:rPr>
        <w:t>the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deductible.</w:t>
      </w:r>
      <w:r w:rsidRPr="0084611E">
        <w:rPr>
          <w:rFonts w:cs="Times New Roman"/>
          <w:color w:val="000000"/>
          <w:spacing w:val="59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WHOI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will </w:t>
      </w:r>
      <w:r w:rsidRPr="0084611E">
        <w:rPr>
          <w:rFonts w:cs="Times New Roman"/>
          <w:color w:val="000000"/>
          <w:sz w:val="22"/>
          <w:szCs w:val="22"/>
        </w:rPr>
        <w:t>fund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the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first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50%</w:t>
      </w:r>
      <w:r w:rsidRPr="0084611E">
        <w:rPr>
          <w:rFonts w:cs="Times New Roman"/>
          <w:color w:val="000000"/>
          <w:spacing w:val="-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of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the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deductible</w:t>
      </w:r>
      <w:r w:rsidRPr="0084611E">
        <w:rPr>
          <w:rFonts w:cs="Times New Roman"/>
          <w:color w:val="000000"/>
          <w:spacing w:val="25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and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the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values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of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each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HRA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are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as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follows:</w:t>
      </w:r>
    </w:p>
    <w:p w:rsidR="0084611E" w:rsidRPr="0084611E" w:rsidRDefault="0084611E" w:rsidP="0084611E">
      <w:pPr>
        <w:pStyle w:val="BodyText"/>
        <w:spacing w:line="286" w:lineRule="exact"/>
        <w:ind w:left="1360" w:right="312" w:firstLine="0"/>
        <w:rPr>
          <w:rFonts w:cs="Times New Roman"/>
          <w:b w:val="0"/>
          <w:bCs w:val="0"/>
          <w:sz w:val="22"/>
          <w:szCs w:val="22"/>
        </w:rPr>
      </w:pPr>
      <w:proofErr w:type="gramStart"/>
      <w:r w:rsidRPr="0084611E">
        <w:rPr>
          <w:rFonts w:cs="Times New Roman"/>
          <w:b w:val="0"/>
          <w:color w:val="4F82BD"/>
          <w:sz w:val="22"/>
          <w:szCs w:val="22"/>
        </w:rPr>
        <w:t>o</w:t>
      </w:r>
      <w:proofErr w:type="gramEnd"/>
      <w:r w:rsidRPr="0084611E">
        <w:rPr>
          <w:rFonts w:cs="Times New Roman"/>
          <w:b w:val="0"/>
          <w:color w:val="4F82BD"/>
          <w:spacing w:val="72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 xml:space="preserve">Single HRA: </w:t>
      </w:r>
      <w:r w:rsidRPr="0084611E">
        <w:rPr>
          <w:rFonts w:cs="Times New Roman"/>
          <w:color w:val="000000"/>
          <w:spacing w:val="60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$1,000 (for Individual coverage)</w:t>
      </w:r>
    </w:p>
    <w:p w:rsidR="0084611E" w:rsidRPr="0084611E" w:rsidRDefault="0084611E" w:rsidP="0084611E">
      <w:pPr>
        <w:pStyle w:val="BodyText"/>
        <w:spacing w:line="307" w:lineRule="exact"/>
        <w:ind w:left="279" w:right="312" w:firstLine="1080"/>
        <w:rPr>
          <w:rFonts w:cs="Times New Roman"/>
          <w:b w:val="0"/>
          <w:bCs w:val="0"/>
          <w:sz w:val="22"/>
          <w:szCs w:val="22"/>
        </w:rPr>
      </w:pPr>
      <w:proofErr w:type="gramStart"/>
      <w:r w:rsidRPr="0084611E">
        <w:rPr>
          <w:rFonts w:cs="Times New Roman"/>
          <w:b w:val="0"/>
          <w:color w:val="4F82BD"/>
          <w:sz w:val="22"/>
          <w:szCs w:val="22"/>
        </w:rPr>
        <w:t>o</w:t>
      </w:r>
      <w:proofErr w:type="gramEnd"/>
      <w:r w:rsidRPr="0084611E">
        <w:rPr>
          <w:rFonts w:cs="Times New Roman"/>
          <w:b w:val="0"/>
          <w:color w:val="4F82BD"/>
          <w:spacing w:val="23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Family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 xml:space="preserve">HRA: </w:t>
      </w:r>
      <w:r w:rsidRPr="0084611E">
        <w:rPr>
          <w:rFonts w:cs="Times New Roman"/>
          <w:color w:val="000000"/>
          <w:spacing w:val="58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$2,000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(for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Employee+</w:t>
      </w:r>
      <w:r w:rsidRPr="0084611E">
        <w:rPr>
          <w:rFonts w:cs="Times New Roman"/>
          <w:color w:val="000000"/>
          <w:spacing w:val="-1"/>
          <w:sz w:val="22"/>
          <w:szCs w:val="22"/>
        </w:rPr>
        <w:t xml:space="preserve"> </w:t>
      </w:r>
      <w:r w:rsidRPr="0084611E">
        <w:rPr>
          <w:rFonts w:cs="Times New Roman"/>
          <w:color w:val="000000"/>
          <w:sz w:val="22"/>
          <w:szCs w:val="22"/>
        </w:rPr>
        <w:t>coverage)</w:t>
      </w:r>
    </w:p>
    <w:p w:rsidR="0084611E" w:rsidRDefault="0084611E" w:rsidP="0084611E">
      <w:pPr>
        <w:spacing w:before="9" w:line="280" w:lineRule="exact"/>
        <w:rPr>
          <w:sz w:val="28"/>
          <w:szCs w:val="28"/>
        </w:rPr>
      </w:pPr>
    </w:p>
    <w:p w:rsidR="0084611E" w:rsidRPr="0084611E" w:rsidRDefault="0084611E" w:rsidP="0084611E">
      <w:pPr>
        <w:pStyle w:val="Heading1"/>
        <w:rPr>
          <w:color w:val="1F497D" w:themeColor="text2"/>
          <w:u w:val="thick" w:color="1F497D" w:themeColor="text2"/>
        </w:rPr>
      </w:pPr>
      <w:r w:rsidRPr="0084611E">
        <w:rPr>
          <w:color w:val="1F497D" w:themeColor="text2"/>
          <w:u w:val="thick" w:color="1F497D" w:themeColor="text2"/>
        </w:rPr>
        <w:t>How to Use It</w:t>
      </w:r>
    </w:p>
    <w:p w:rsidR="0084611E" w:rsidRDefault="0084611E" w:rsidP="0084611E">
      <w:pPr>
        <w:pStyle w:val="BodyText"/>
        <w:numPr>
          <w:ilvl w:val="0"/>
          <w:numId w:val="3"/>
        </w:numPr>
        <w:spacing w:before="114" w:line="277" w:lineRule="exact"/>
        <w:ind w:right="312"/>
        <w:rPr>
          <w:rStyle w:val="SubtleEmphasis"/>
          <w:i w:val="0"/>
          <w:color w:val="auto"/>
          <w:sz w:val="22"/>
          <w:szCs w:val="22"/>
        </w:rPr>
      </w:pPr>
      <w:r w:rsidRPr="0084611E">
        <w:rPr>
          <w:rStyle w:val="SubtleEmphasis"/>
          <w:i w:val="0"/>
          <w:color w:val="auto"/>
          <w:sz w:val="22"/>
          <w:szCs w:val="22"/>
        </w:rPr>
        <w:t>Health Equit</w:t>
      </w:r>
      <w:r w:rsidRPr="0084611E">
        <w:rPr>
          <w:rStyle w:val="SubtleEmphasis"/>
          <w:i w:val="0"/>
          <w:sz w:val="22"/>
          <w:szCs w:val="22"/>
        </w:rPr>
        <w:t>y</w:t>
      </w:r>
      <w:r w:rsidR="00F6423E">
        <w:rPr>
          <w:rStyle w:val="SubtleEmphasis"/>
          <w:i w:val="0"/>
          <w:sz w:val="22"/>
          <w:szCs w:val="22"/>
        </w:rPr>
        <w:t xml:space="preserve"> (HEQ)</w:t>
      </w:r>
      <w:bookmarkStart w:id="0" w:name="_GoBack"/>
      <w:bookmarkEnd w:id="0"/>
      <w:r w:rsidRPr="0084611E">
        <w:rPr>
          <w:rStyle w:val="SubtleEmphasis"/>
          <w:i w:val="0"/>
          <w:color w:val="auto"/>
          <w:sz w:val="22"/>
          <w:szCs w:val="22"/>
        </w:rPr>
        <w:t xml:space="preserve"> will administer the HRA</w:t>
      </w:r>
      <w:r w:rsidR="00925229">
        <w:rPr>
          <w:rStyle w:val="SubtleEmphasis"/>
          <w:i w:val="0"/>
          <w:color w:val="auto"/>
          <w:sz w:val="22"/>
          <w:szCs w:val="22"/>
        </w:rPr>
        <w:t xml:space="preserve">  </w:t>
      </w:r>
      <w:hyperlink r:id="rId8" w:history="1">
        <w:r w:rsidR="00925229" w:rsidRPr="00E92B3A">
          <w:rPr>
            <w:rStyle w:val="Hyperlink"/>
            <w:sz w:val="22"/>
            <w:szCs w:val="22"/>
          </w:rPr>
          <w:t>www.healthequity.com</w:t>
        </w:r>
      </w:hyperlink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rStyle w:val="SubtleEmphasis"/>
          <w:i w:val="0"/>
          <w:sz w:val="22"/>
          <w:szCs w:val="22"/>
        </w:rPr>
      </w:pPr>
      <w:r w:rsidRPr="0084611E">
        <w:rPr>
          <w:rStyle w:val="SubtleEmphasis"/>
          <w:i w:val="0"/>
          <w:color w:val="auto"/>
          <w:sz w:val="22"/>
          <w:szCs w:val="22"/>
        </w:rPr>
        <w:t xml:space="preserve">A Welcome Kit with participant log-in information will be mailed to you, so you may  </w:t>
      </w:r>
      <w:r w:rsidRPr="0084611E">
        <w:rPr>
          <w:rStyle w:val="SubtleEmphasis"/>
          <w:i w:val="0"/>
          <w:sz w:val="22"/>
          <w:szCs w:val="22"/>
        </w:rPr>
        <w:t xml:space="preserve">  </w:t>
      </w:r>
      <w:r w:rsidRPr="0084611E">
        <w:rPr>
          <w:rStyle w:val="SubtleEmphasis"/>
          <w:i w:val="0"/>
          <w:color w:val="auto"/>
          <w:sz w:val="22"/>
          <w:szCs w:val="22"/>
        </w:rPr>
        <w:t>access your HRA account online</w:t>
      </w:r>
    </w:p>
    <w:p w:rsidR="0084611E" w:rsidRPr="00C57B7A" w:rsidRDefault="0084611E" w:rsidP="0084611E">
      <w:pPr>
        <w:pStyle w:val="Heading1"/>
        <w:rPr>
          <w:rStyle w:val="SubtleEmphasis"/>
          <w:i w:val="0"/>
        </w:rPr>
      </w:pPr>
    </w:p>
    <w:p w:rsidR="0084611E" w:rsidRPr="0084611E" w:rsidRDefault="0084611E" w:rsidP="0084611E">
      <w:pPr>
        <w:pStyle w:val="Heading1"/>
        <w:rPr>
          <w:color w:val="1F497D" w:themeColor="text2"/>
          <w:u w:val="thick" w:color="1F497D" w:themeColor="text2"/>
        </w:rPr>
      </w:pPr>
      <w:r w:rsidRPr="0084611E">
        <w:rPr>
          <w:color w:val="1F497D" w:themeColor="text2"/>
          <w:u w:val="thick" w:color="1F497D" w:themeColor="text2"/>
        </w:rPr>
        <w:t>At the Doctor’s Office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Show your BCBS ID card </w:t>
      </w:r>
    </w:p>
    <w:p w:rsid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Provider submits claim to BCBS </w:t>
      </w:r>
      <w:r w:rsidR="00925229">
        <w:rPr>
          <w:iCs/>
          <w:sz w:val="22"/>
          <w:szCs w:val="22"/>
        </w:rPr>
        <w:t xml:space="preserve"> </w:t>
      </w:r>
      <w:hyperlink r:id="rId9" w:history="1">
        <w:r w:rsidR="00925229" w:rsidRPr="00E92B3A">
          <w:rPr>
            <w:rStyle w:val="Hyperlink"/>
            <w:iCs/>
            <w:sz w:val="22"/>
            <w:szCs w:val="22"/>
          </w:rPr>
          <w:t>www.bluecrossma.com/wps/portal/members</w:t>
        </w:r>
      </w:hyperlink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BCBS processes the claim and determines the allowable charges to be billed by the provider 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BCBS sends a claims summary to the provider with appropriate billing charges, and to the subscriber for their records 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Provider bills patient based on BCBS allowable charges 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BCBS sends claims information electronically to HEQ for reimbursement from your HRA. If HRA funds are available, HEQ will send payment directly to the provider. 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Once your HRA funds are depleted, you pay the provider out-of-pocket or using your Health FSA, if participating. </w:t>
      </w:r>
    </w:p>
    <w:p w:rsidR="0084611E" w:rsidRDefault="0084611E" w:rsidP="0084611E">
      <w:pPr>
        <w:pStyle w:val="BodyText"/>
        <w:ind w:right="312"/>
        <w:rPr>
          <w:i/>
          <w:iCs/>
        </w:rPr>
      </w:pPr>
    </w:p>
    <w:p w:rsidR="0084611E" w:rsidRPr="0084611E" w:rsidRDefault="0084611E" w:rsidP="0084611E">
      <w:pPr>
        <w:pStyle w:val="Heading1"/>
        <w:rPr>
          <w:color w:val="1F497D" w:themeColor="text2"/>
          <w:u w:val="thick" w:color="1F497D" w:themeColor="text2"/>
        </w:rPr>
      </w:pPr>
      <w:r w:rsidRPr="0084611E">
        <w:rPr>
          <w:color w:val="1F497D" w:themeColor="text2"/>
          <w:u w:val="thick" w:color="1F497D" w:themeColor="text2"/>
        </w:rPr>
        <w:t>At the Pharmacy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C57B7A">
        <w:rPr>
          <w:iCs/>
        </w:rPr>
        <w:t xml:space="preserve"> </w:t>
      </w:r>
      <w:r w:rsidRPr="0084611E">
        <w:rPr>
          <w:iCs/>
          <w:sz w:val="22"/>
          <w:szCs w:val="22"/>
        </w:rPr>
        <w:t xml:space="preserve">Pay Rx co-pay based on drug tier level ($15/$30/$50, or less) 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 May use your Health FSA, if participating </w:t>
      </w:r>
    </w:p>
    <w:p w:rsidR="0084611E" w:rsidRPr="0084611E" w:rsidRDefault="0084611E" w:rsidP="0084611E">
      <w:pPr>
        <w:pStyle w:val="BodyText"/>
        <w:numPr>
          <w:ilvl w:val="0"/>
          <w:numId w:val="3"/>
        </w:numPr>
        <w:ind w:right="312"/>
        <w:rPr>
          <w:iCs/>
          <w:sz w:val="22"/>
          <w:szCs w:val="22"/>
        </w:rPr>
      </w:pPr>
      <w:r w:rsidRPr="0084611E">
        <w:rPr>
          <w:iCs/>
          <w:sz w:val="22"/>
          <w:szCs w:val="22"/>
        </w:rPr>
        <w:t xml:space="preserve"> The HRA does NOT pay for Rx prescriptions </w:t>
      </w:r>
    </w:p>
    <w:p w:rsidR="0084611E" w:rsidRPr="0084611E" w:rsidRDefault="0084611E" w:rsidP="0084611E">
      <w:pPr>
        <w:pStyle w:val="Heading1"/>
        <w:ind w:right="312"/>
        <w:rPr>
          <w:b w:val="0"/>
          <w:bCs w:val="0"/>
          <w:color w:val="1F497D" w:themeColor="text2"/>
          <w:u w:val="none" w:color="1F497D" w:themeColor="text2"/>
        </w:rPr>
      </w:pPr>
      <w:r w:rsidRPr="0084611E">
        <w:rPr>
          <w:color w:val="1F497D" w:themeColor="text2"/>
          <w:u w:val="thick" w:color="1F497D" w:themeColor="text2"/>
        </w:rPr>
        <w:t>Rules</w:t>
      </w:r>
    </w:p>
    <w:p w:rsidR="0084611E" w:rsidRPr="0084611E" w:rsidRDefault="0084611E" w:rsidP="0084611E">
      <w:pPr>
        <w:pStyle w:val="BodyText"/>
        <w:numPr>
          <w:ilvl w:val="0"/>
          <w:numId w:val="4"/>
        </w:numPr>
        <w:spacing w:before="112" w:line="277" w:lineRule="exact"/>
        <w:ind w:right="312"/>
        <w:rPr>
          <w:rStyle w:val="SubtleEmphasis"/>
          <w:i w:val="0"/>
          <w:color w:val="auto"/>
          <w:sz w:val="22"/>
          <w:szCs w:val="22"/>
        </w:rPr>
      </w:pPr>
      <w:r w:rsidRPr="0084611E">
        <w:rPr>
          <w:rStyle w:val="SubtleEmphasis"/>
          <w:i w:val="0"/>
          <w:color w:val="auto"/>
          <w:sz w:val="22"/>
          <w:szCs w:val="22"/>
        </w:rPr>
        <w:t>The money is available during the calendar year</w:t>
      </w:r>
    </w:p>
    <w:p w:rsidR="0084611E" w:rsidRPr="0084611E" w:rsidRDefault="0084611E" w:rsidP="0084611E">
      <w:pPr>
        <w:pStyle w:val="BodyText"/>
        <w:numPr>
          <w:ilvl w:val="0"/>
          <w:numId w:val="4"/>
        </w:numPr>
        <w:ind w:right="312"/>
        <w:rPr>
          <w:rStyle w:val="SubtleEmphasis"/>
          <w:i w:val="0"/>
          <w:color w:val="auto"/>
          <w:sz w:val="22"/>
          <w:szCs w:val="22"/>
        </w:rPr>
      </w:pPr>
      <w:r w:rsidRPr="0084611E">
        <w:rPr>
          <w:rStyle w:val="SubtleEmphasis"/>
          <w:i w:val="0"/>
          <w:color w:val="auto"/>
          <w:sz w:val="22"/>
          <w:szCs w:val="22"/>
        </w:rPr>
        <w:t>You may not take any unused money with you if you terminate employment (this is not a Health Savings Account)</w:t>
      </w:r>
    </w:p>
    <w:p w:rsidR="0084611E" w:rsidRPr="0084611E" w:rsidRDefault="0084611E" w:rsidP="0084611E">
      <w:pPr>
        <w:pStyle w:val="BodyText"/>
        <w:numPr>
          <w:ilvl w:val="0"/>
          <w:numId w:val="4"/>
        </w:numPr>
        <w:ind w:right="880"/>
        <w:rPr>
          <w:rStyle w:val="SubtleEmphasis"/>
          <w:i w:val="0"/>
          <w:color w:val="auto"/>
          <w:sz w:val="22"/>
          <w:szCs w:val="22"/>
        </w:rPr>
      </w:pPr>
      <w:r w:rsidRPr="0084611E">
        <w:rPr>
          <w:rStyle w:val="SubtleEmphasis"/>
          <w:i w:val="0"/>
          <w:color w:val="auto"/>
          <w:sz w:val="22"/>
          <w:szCs w:val="22"/>
        </w:rPr>
        <w:t>The HRA will fund only deductible expenses. Once the HRA is exhausted, the Health Care Flexible Spending Account may be used to pay for the remaining deductible</w:t>
      </w:r>
    </w:p>
    <w:p w:rsidR="0084611E" w:rsidRPr="0084611E" w:rsidRDefault="0084611E" w:rsidP="0084611E">
      <w:pPr>
        <w:pStyle w:val="BodyText"/>
        <w:numPr>
          <w:ilvl w:val="0"/>
          <w:numId w:val="4"/>
        </w:numPr>
        <w:spacing w:line="276" w:lineRule="exact"/>
        <w:ind w:right="312"/>
        <w:rPr>
          <w:rStyle w:val="SubtleEmphasis"/>
          <w:i w:val="0"/>
          <w:color w:val="auto"/>
          <w:sz w:val="22"/>
          <w:szCs w:val="22"/>
        </w:rPr>
      </w:pPr>
      <w:r w:rsidRPr="0084611E">
        <w:rPr>
          <w:rStyle w:val="SubtleEmphasis"/>
          <w:i w:val="0"/>
          <w:color w:val="auto"/>
          <w:sz w:val="22"/>
          <w:szCs w:val="22"/>
        </w:rPr>
        <w:t>The HRA is pro-rated if enrolling mid-year as follows:</w:t>
      </w:r>
    </w:p>
    <w:p w:rsidR="0084611E" w:rsidRDefault="0084611E" w:rsidP="0084611E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18"/>
        <w:gridCol w:w="716"/>
        <w:gridCol w:w="718"/>
        <w:gridCol w:w="716"/>
        <w:gridCol w:w="718"/>
        <w:gridCol w:w="716"/>
        <w:gridCol w:w="718"/>
        <w:gridCol w:w="686"/>
        <w:gridCol w:w="685"/>
        <w:gridCol w:w="680"/>
        <w:gridCol w:w="685"/>
        <w:gridCol w:w="685"/>
      </w:tblGrid>
      <w:tr w:rsidR="0084611E" w:rsidTr="00F8450B">
        <w:trPr>
          <w:trHeight w:hRule="exact" w:val="28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11E" w:rsidRDefault="0084611E" w:rsidP="00F8450B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98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Jan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91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Feb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92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98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Apr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77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May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91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Jun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222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Jul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60" w:righ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Aug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71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Sep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83" w:right="-1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Oct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66" w:right="-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Nov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84611E" w:rsidRDefault="0084611E" w:rsidP="00F8450B">
            <w:pPr>
              <w:pStyle w:val="TableParagraph"/>
              <w:spacing w:before="30"/>
              <w:ind w:left="171" w:right="-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Dec</w:t>
            </w:r>
          </w:p>
        </w:tc>
      </w:tr>
      <w:tr w:rsidR="0084611E" w:rsidTr="00F8450B">
        <w:trPr>
          <w:trHeight w:hRule="exact" w:val="32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spacing w:before="49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Individual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68"/>
              </w:tabs>
              <w:spacing w:before="49"/>
              <w:ind w:left="-1" w:right="-163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pacing w:val="3"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$1000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68"/>
              </w:tabs>
              <w:spacing w:before="49"/>
              <w:ind w:left="151" w:right="-165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$917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70"/>
              </w:tabs>
              <w:spacing w:before="49"/>
              <w:ind w:left="152" w:right="-165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$833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68"/>
              </w:tabs>
              <w:spacing w:before="49"/>
              <w:ind w:left="152" w:right="-165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$750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68"/>
              </w:tabs>
              <w:spacing w:before="49"/>
              <w:ind w:left="152" w:right="-164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$667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68"/>
              </w:tabs>
              <w:spacing w:before="49"/>
              <w:ind w:left="151" w:right="-165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$583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53"/>
              </w:tabs>
              <w:spacing w:before="49"/>
              <w:ind w:left="152" w:right="-148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$500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22"/>
              </w:tabs>
              <w:spacing w:before="49"/>
              <w:ind w:left="135" w:right="-148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$417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8"/>
              </w:tabs>
              <w:spacing w:before="49"/>
              <w:ind w:left="135" w:right="-145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$333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7"/>
              </w:tabs>
              <w:spacing w:before="49"/>
              <w:ind w:left="133" w:right="-149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$250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71"/>
              </w:tabs>
              <w:spacing w:before="49"/>
              <w:ind w:left="136" w:right="-198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$167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674"/>
              </w:tabs>
              <w:spacing w:before="49"/>
              <w:ind w:left="186" w:right="-1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$83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</w:tr>
      <w:tr w:rsidR="0084611E" w:rsidTr="00F8450B">
        <w:trPr>
          <w:trHeight w:hRule="exact" w:val="27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spacing w:before="22"/>
              <w:ind w:left="2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Family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8"/>
              </w:tabs>
              <w:spacing w:before="22"/>
              <w:ind w:left="-1" w:right="-113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pacing w:val="3"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$2000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8"/>
              </w:tabs>
              <w:spacing w:before="22"/>
              <w:ind w:left="101" w:right="-114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$1833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9"/>
              </w:tabs>
              <w:spacing w:before="22"/>
              <w:ind w:left="102" w:right="-114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$1667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8"/>
              </w:tabs>
              <w:spacing w:before="22"/>
              <w:ind w:left="102" w:right="-114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$1500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8"/>
              </w:tabs>
              <w:spacing w:before="22"/>
              <w:ind w:left="102" w:right="-113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$1333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8"/>
              </w:tabs>
              <w:spacing w:before="22"/>
              <w:ind w:left="101" w:right="-114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$1167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53"/>
              </w:tabs>
              <w:spacing w:before="22"/>
              <w:ind w:left="102" w:right="-148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$1000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22"/>
              </w:tabs>
              <w:spacing w:before="22"/>
              <w:ind w:left="135" w:right="-148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$833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8"/>
              </w:tabs>
              <w:spacing w:before="22"/>
              <w:ind w:left="135" w:right="-145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$667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17"/>
              </w:tabs>
              <w:spacing w:before="22"/>
              <w:ind w:left="133" w:right="-149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$500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820"/>
              </w:tabs>
              <w:spacing w:before="22"/>
              <w:ind w:left="136" w:right="-148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$333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11E" w:rsidRDefault="0084611E" w:rsidP="00F8450B">
            <w:pPr>
              <w:pStyle w:val="TableParagraph"/>
              <w:tabs>
                <w:tab w:val="left" w:pos="674"/>
              </w:tabs>
              <w:spacing w:before="22"/>
              <w:ind w:left="135" w:right="-1"/>
              <w:rPr>
                <w:rFonts w:ascii="Arial" w:eastAsia="Arial" w:hAnsi="Arial" w:cs="Arial"/>
                <w:sz w:val="18"/>
                <w:szCs w:val="18"/>
              </w:rPr>
            </w:pPr>
            <w:r w:rsidRPr="0084611E">
              <w:rPr>
                <w:rFonts w:ascii="Arial"/>
                <w:b/>
                <w:spacing w:val="-1"/>
                <w:sz w:val="18"/>
                <w:highlight w:val="lightGray"/>
              </w:rPr>
              <w:t>$167</w:t>
            </w:r>
            <w:r w:rsidRPr="0084611E">
              <w:rPr>
                <w:rFonts w:ascii="Arial"/>
                <w:b/>
                <w:sz w:val="18"/>
                <w:highlight w:val="lightGray"/>
              </w:rPr>
              <w:t xml:space="preserve"> </w:t>
            </w:r>
            <w:r w:rsidRPr="0084611E">
              <w:rPr>
                <w:rFonts w:ascii="Arial"/>
                <w:b/>
                <w:sz w:val="18"/>
                <w:highlight w:val="lightGray"/>
              </w:rPr>
              <w:tab/>
            </w:r>
          </w:p>
        </w:tc>
      </w:tr>
    </w:tbl>
    <w:p w:rsidR="003B6804" w:rsidRDefault="003B6804" w:rsidP="0084611E">
      <w:pPr>
        <w:spacing w:before="53"/>
        <w:ind w:left="1674" w:right="312"/>
      </w:pPr>
    </w:p>
    <w:sectPr w:rsidR="003B6804">
      <w:type w:val="continuous"/>
      <w:pgSz w:w="12240" w:h="15840"/>
      <w:pgMar w:top="440" w:right="12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9AA"/>
    <w:multiLevelType w:val="hybridMultilevel"/>
    <w:tmpl w:val="62C6B914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14622F21"/>
    <w:multiLevelType w:val="hybridMultilevel"/>
    <w:tmpl w:val="0BFAF606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696634BC"/>
    <w:multiLevelType w:val="hybridMultilevel"/>
    <w:tmpl w:val="AF1C46A0"/>
    <w:lvl w:ilvl="0" w:tplc="C108EDF4">
      <w:start w:val="1"/>
      <w:numFmt w:val="bullet"/>
      <w:lvlText w:val="o"/>
      <w:lvlJc w:val="left"/>
      <w:pPr>
        <w:ind w:left="1720" w:hanging="360"/>
      </w:pPr>
      <w:rPr>
        <w:rFonts w:ascii="Courier New" w:eastAsia="Courier New" w:hAnsi="Courier New" w:hint="default"/>
        <w:color w:val="4F82BD"/>
        <w:sz w:val="24"/>
        <w:szCs w:val="24"/>
      </w:rPr>
    </w:lvl>
    <w:lvl w:ilvl="1" w:tplc="4692A646">
      <w:start w:val="1"/>
      <w:numFmt w:val="bullet"/>
      <w:lvlText w:val="•"/>
      <w:lvlJc w:val="left"/>
      <w:pPr>
        <w:ind w:left="2534" w:hanging="360"/>
      </w:pPr>
      <w:rPr>
        <w:rFonts w:hint="default"/>
      </w:rPr>
    </w:lvl>
    <w:lvl w:ilvl="2" w:tplc="70340B4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3" w:tplc="860CFD62">
      <w:start w:val="1"/>
      <w:numFmt w:val="bullet"/>
      <w:lvlText w:val="•"/>
      <w:lvlJc w:val="left"/>
      <w:pPr>
        <w:ind w:left="4162" w:hanging="360"/>
      </w:pPr>
      <w:rPr>
        <w:rFonts w:hint="default"/>
      </w:rPr>
    </w:lvl>
    <w:lvl w:ilvl="4" w:tplc="4E104624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3C6EA4C2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1CDEF832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611AB978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E312B554">
      <w:start w:val="1"/>
      <w:numFmt w:val="bullet"/>
      <w:lvlText w:val="•"/>
      <w:lvlJc w:val="left"/>
      <w:pPr>
        <w:ind w:left="8232" w:hanging="360"/>
      </w:pPr>
      <w:rPr>
        <w:rFonts w:hint="default"/>
      </w:rPr>
    </w:lvl>
  </w:abstractNum>
  <w:abstractNum w:abstractNumId="3">
    <w:nsid w:val="72B31EFD"/>
    <w:multiLevelType w:val="hybridMultilevel"/>
    <w:tmpl w:val="4AB2DB44"/>
    <w:lvl w:ilvl="0" w:tplc="46988C38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3C"/>
    <w:rsid w:val="003B6804"/>
    <w:rsid w:val="005A425F"/>
    <w:rsid w:val="0084611E"/>
    <w:rsid w:val="00925229"/>
    <w:rsid w:val="00F6423E"/>
    <w:rsid w:val="00FD3455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0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84611E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252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0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84611E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252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equit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luecrossma.com/wps/portal/me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5016-E7AA-44E9-8D28-E064414F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ENROLLMENT – TIME SENSITIVE</vt:lpstr>
    </vt:vector>
  </TitlesOfParts>
  <Company>WHOI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ENROLLMENT – TIME SENSITIVE</dc:title>
  <dc:creator>Emily Schorer</dc:creator>
  <cp:lastModifiedBy>jfawkes</cp:lastModifiedBy>
  <cp:revision>3</cp:revision>
  <cp:lastPrinted>2014-01-06T22:02:00Z</cp:lastPrinted>
  <dcterms:created xsi:type="dcterms:W3CDTF">2014-01-06T18:35:00Z</dcterms:created>
  <dcterms:modified xsi:type="dcterms:W3CDTF">2014-01-06T22:03:00Z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2010-03-02T00:00:00Z</vt:filetime>
  </property>
  <property fmtid="{D5CDD505-2E9C-101B-9397-08002B2CF9AE}" pid="3" name="LastSaved">
    <vt:filetime>2014-01-02T00:00:00Z</vt:filetime>
  </property>
</Properties>
</file>